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310" w:rsidRDefault="00BD5310" w:rsidP="00BD5310">
      <w:pPr>
        <w:spacing w:line="480" w:lineRule="auto"/>
        <w:jc w:val="center"/>
        <w:rPr>
          <w:rFonts w:ascii="Times New Roman" w:hAnsi="Times New Roman" w:cs="Times New Roman"/>
          <w:sz w:val="24"/>
          <w:szCs w:val="24"/>
        </w:rPr>
      </w:pPr>
    </w:p>
    <w:p w:rsidR="00BD5310" w:rsidRDefault="00BD5310" w:rsidP="00BD5310">
      <w:pPr>
        <w:spacing w:line="480" w:lineRule="auto"/>
        <w:jc w:val="center"/>
        <w:rPr>
          <w:rFonts w:ascii="Times New Roman" w:hAnsi="Times New Roman" w:cs="Times New Roman"/>
          <w:sz w:val="24"/>
          <w:szCs w:val="24"/>
        </w:rPr>
      </w:pPr>
    </w:p>
    <w:p w:rsidR="00BD5310" w:rsidRDefault="00BD5310" w:rsidP="00BD5310">
      <w:pPr>
        <w:spacing w:line="480" w:lineRule="auto"/>
        <w:jc w:val="center"/>
        <w:rPr>
          <w:rFonts w:ascii="Times New Roman" w:hAnsi="Times New Roman" w:cs="Times New Roman"/>
          <w:sz w:val="24"/>
          <w:szCs w:val="24"/>
        </w:rPr>
      </w:pPr>
    </w:p>
    <w:p w:rsidR="00BD5310" w:rsidRDefault="00BD5310" w:rsidP="00BD5310">
      <w:pPr>
        <w:spacing w:line="480" w:lineRule="auto"/>
        <w:jc w:val="center"/>
        <w:rPr>
          <w:rFonts w:ascii="Times New Roman" w:hAnsi="Times New Roman" w:cs="Times New Roman"/>
          <w:sz w:val="24"/>
          <w:szCs w:val="24"/>
        </w:rPr>
      </w:pPr>
    </w:p>
    <w:p w:rsidR="00BD5310" w:rsidRDefault="00BD5310" w:rsidP="00BD5310">
      <w:pPr>
        <w:spacing w:line="480" w:lineRule="auto"/>
        <w:jc w:val="center"/>
        <w:rPr>
          <w:rFonts w:ascii="Times New Roman" w:hAnsi="Times New Roman" w:cs="Times New Roman"/>
          <w:sz w:val="24"/>
          <w:szCs w:val="24"/>
        </w:rPr>
      </w:pPr>
    </w:p>
    <w:p w:rsidR="00BD5310" w:rsidRDefault="00BD5310" w:rsidP="00BD5310">
      <w:pPr>
        <w:spacing w:line="480" w:lineRule="auto"/>
        <w:jc w:val="center"/>
        <w:rPr>
          <w:rFonts w:ascii="Times New Roman" w:hAnsi="Times New Roman" w:cs="Times New Roman"/>
          <w:sz w:val="24"/>
          <w:szCs w:val="24"/>
        </w:rPr>
      </w:pPr>
    </w:p>
    <w:p w:rsidR="00BD5310" w:rsidRDefault="00BD5310" w:rsidP="00BD5310">
      <w:pPr>
        <w:spacing w:line="480" w:lineRule="auto"/>
        <w:jc w:val="center"/>
        <w:rPr>
          <w:rFonts w:ascii="Times New Roman" w:hAnsi="Times New Roman" w:cs="Times New Roman"/>
          <w:sz w:val="24"/>
          <w:szCs w:val="24"/>
        </w:rPr>
      </w:pPr>
    </w:p>
    <w:p w:rsidR="00BD5310" w:rsidRDefault="00BD5310" w:rsidP="00BD5310">
      <w:pPr>
        <w:spacing w:line="480" w:lineRule="auto"/>
        <w:jc w:val="center"/>
        <w:rPr>
          <w:rFonts w:ascii="Times New Roman" w:hAnsi="Times New Roman" w:cs="Times New Roman"/>
          <w:sz w:val="24"/>
          <w:szCs w:val="24"/>
        </w:rPr>
      </w:pPr>
    </w:p>
    <w:p w:rsidR="00BD5310" w:rsidRDefault="00BD5310" w:rsidP="00BD5310">
      <w:pPr>
        <w:spacing w:line="480" w:lineRule="auto"/>
        <w:jc w:val="center"/>
        <w:rPr>
          <w:rFonts w:ascii="Times New Roman" w:hAnsi="Times New Roman" w:cs="Times New Roman"/>
          <w:sz w:val="24"/>
          <w:szCs w:val="24"/>
        </w:rPr>
      </w:pPr>
    </w:p>
    <w:p w:rsidR="00BD5310" w:rsidRDefault="00BD5310" w:rsidP="00BD5310">
      <w:pPr>
        <w:spacing w:line="480" w:lineRule="auto"/>
        <w:jc w:val="center"/>
        <w:rPr>
          <w:rFonts w:ascii="Times New Roman" w:hAnsi="Times New Roman" w:cs="Times New Roman"/>
          <w:sz w:val="24"/>
          <w:szCs w:val="24"/>
        </w:rPr>
      </w:pPr>
    </w:p>
    <w:p w:rsidR="00BD5310" w:rsidRDefault="00BD5310" w:rsidP="00BD5310">
      <w:pPr>
        <w:spacing w:line="480" w:lineRule="auto"/>
        <w:jc w:val="center"/>
        <w:rPr>
          <w:rFonts w:ascii="Times New Roman" w:hAnsi="Times New Roman" w:cs="Times New Roman"/>
          <w:sz w:val="24"/>
          <w:szCs w:val="24"/>
        </w:rPr>
      </w:pPr>
      <w:r w:rsidRPr="00BD5310">
        <w:rPr>
          <w:rFonts w:ascii="Times New Roman" w:hAnsi="Times New Roman" w:cs="Times New Roman"/>
          <w:sz w:val="24"/>
          <w:szCs w:val="24"/>
        </w:rPr>
        <w:t>Organ Transplantation</w:t>
      </w:r>
    </w:p>
    <w:p w:rsidR="00BD5310" w:rsidRDefault="00BD5310" w:rsidP="00BD531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D5310" w:rsidRDefault="00BD5310" w:rsidP="00BD531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D5310" w:rsidRDefault="00BD5310" w:rsidP="00BD531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D5310" w:rsidRDefault="00BD5310">
      <w:pPr>
        <w:rPr>
          <w:rFonts w:ascii="Times New Roman" w:hAnsi="Times New Roman" w:cs="Times New Roman"/>
          <w:sz w:val="24"/>
          <w:szCs w:val="24"/>
        </w:rPr>
      </w:pPr>
      <w:r>
        <w:rPr>
          <w:rFonts w:ascii="Times New Roman" w:hAnsi="Times New Roman" w:cs="Times New Roman"/>
          <w:sz w:val="24"/>
          <w:szCs w:val="24"/>
        </w:rPr>
        <w:br w:type="page"/>
      </w:r>
    </w:p>
    <w:p w:rsidR="00563BA3" w:rsidRPr="00BD5310" w:rsidRDefault="00563BA3" w:rsidP="00C934D7">
      <w:pPr>
        <w:spacing w:line="480" w:lineRule="auto"/>
        <w:jc w:val="center"/>
        <w:rPr>
          <w:rFonts w:ascii="Times New Roman" w:hAnsi="Times New Roman" w:cs="Times New Roman"/>
          <w:sz w:val="24"/>
          <w:szCs w:val="24"/>
        </w:rPr>
      </w:pPr>
      <w:r w:rsidRPr="00BD5310">
        <w:rPr>
          <w:rFonts w:ascii="Times New Roman" w:hAnsi="Times New Roman" w:cs="Times New Roman"/>
          <w:sz w:val="24"/>
          <w:szCs w:val="24"/>
        </w:rPr>
        <w:lastRenderedPageBreak/>
        <w:t xml:space="preserve">Organ </w:t>
      </w:r>
      <w:r w:rsidR="00C934D7" w:rsidRPr="00BD5310">
        <w:rPr>
          <w:rFonts w:ascii="Times New Roman" w:hAnsi="Times New Roman" w:cs="Times New Roman"/>
          <w:sz w:val="24"/>
          <w:szCs w:val="24"/>
        </w:rPr>
        <w:t>Transplantation</w:t>
      </w:r>
    </w:p>
    <w:p w:rsidR="008D569C" w:rsidRPr="00C934D7" w:rsidRDefault="008D569C" w:rsidP="00C934D7">
      <w:pPr>
        <w:spacing w:line="480" w:lineRule="auto"/>
        <w:jc w:val="center"/>
        <w:rPr>
          <w:rFonts w:ascii="Times New Roman" w:hAnsi="Times New Roman" w:cs="Times New Roman"/>
          <w:b/>
          <w:sz w:val="24"/>
          <w:szCs w:val="24"/>
        </w:rPr>
      </w:pPr>
      <w:r w:rsidRPr="00C934D7">
        <w:rPr>
          <w:rFonts w:ascii="Times New Roman" w:hAnsi="Times New Roman" w:cs="Times New Roman"/>
          <w:b/>
          <w:sz w:val="24"/>
          <w:szCs w:val="24"/>
        </w:rPr>
        <w:t>Question 1</w:t>
      </w:r>
    </w:p>
    <w:p w:rsidR="00BD5310" w:rsidRPr="00BD5310" w:rsidRDefault="00BD5310" w:rsidP="00C934D7">
      <w:pPr>
        <w:spacing w:line="480" w:lineRule="auto"/>
        <w:ind w:firstLine="720"/>
        <w:rPr>
          <w:rFonts w:ascii="Times New Roman" w:hAnsi="Times New Roman" w:cs="Times New Roman"/>
          <w:sz w:val="24"/>
          <w:szCs w:val="24"/>
        </w:rPr>
      </w:pPr>
      <w:r w:rsidRPr="00BD5310">
        <w:rPr>
          <w:rFonts w:ascii="Times New Roman" w:hAnsi="Times New Roman" w:cs="Times New Roman"/>
          <w:sz w:val="24"/>
          <w:szCs w:val="24"/>
        </w:rPr>
        <w:t xml:space="preserve">The Institutional Review Board is a critical administrative body which is designed to safeguard the welfare and rights of human subjects in research studies. </w:t>
      </w:r>
      <w:r w:rsidR="00C934D7" w:rsidRPr="00C934D7">
        <w:rPr>
          <w:rFonts w:ascii="Times New Roman" w:hAnsi="Times New Roman" w:cs="Times New Roman"/>
          <w:sz w:val="24"/>
          <w:szCs w:val="24"/>
        </w:rPr>
        <w:t>It began being active in 1974 immediately the National Research Act was signed as a law</w:t>
      </w:r>
      <w:r w:rsidR="00C934D7">
        <w:rPr>
          <w:rFonts w:ascii="Times New Roman" w:hAnsi="Times New Roman" w:cs="Times New Roman"/>
          <w:sz w:val="24"/>
          <w:szCs w:val="24"/>
        </w:rPr>
        <w:t xml:space="preserve">. </w:t>
      </w:r>
      <w:r w:rsidRPr="00BD5310">
        <w:rPr>
          <w:rFonts w:ascii="Times New Roman" w:hAnsi="Times New Roman" w:cs="Times New Roman"/>
          <w:sz w:val="24"/>
          <w:szCs w:val="24"/>
        </w:rPr>
        <w:t>According to Slutsman &amp; Nieman (2018), the research studies may be scientific or non-scientific depending on the type of studies. Also, the Institutional Review Board allows human subjects to have an independent interpretation and review of research studi</w:t>
      </w:r>
      <w:r w:rsidR="00C934D7">
        <w:rPr>
          <w:rFonts w:ascii="Times New Roman" w:hAnsi="Times New Roman" w:cs="Times New Roman"/>
          <w:sz w:val="24"/>
          <w:szCs w:val="24"/>
        </w:rPr>
        <w:t>es for them to give credible</w:t>
      </w:r>
      <w:r w:rsidRPr="00BD5310">
        <w:rPr>
          <w:rFonts w:ascii="Times New Roman" w:hAnsi="Times New Roman" w:cs="Times New Roman"/>
          <w:sz w:val="24"/>
          <w:szCs w:val="24"/>
        </w:rPr>
        <w:t xml:space="preserve"> results t</w:t>
      </w:r>
      <w:r w:rsidR="00C934D7">
        <w:rPr>
          <w:rFonts w:ascii="Times New Roman" w:hAnsi="Times New Roman" w:cs="Times New Roman"/>
          <w:sz w:val="24"/>
          <w:szCs w:val="24"/>
        </w:rPr>
        <w:t>hat are not manipulated or bias</w:t>
      </w:r>
      <w:r w:rsidRPr="00BD5310">
        <w:rPr>
          <w:rFonts w:ascii="Times New Roman" w:hAnsi="Times New Roman" w:cs="Times New Roman"/>
          <w:sz w:val="24"/>
          <w:szCs w:val="24"/>
        </w:rPr>
        <w:t>.</w:t>
      </w:r>
    </w:p>
    <w:p w:rsidR="00BD5310" w:rsidRPr="00BD5310" w:rsidRDefault="00BD5310" w:rsidP="00C934D7">
      <w:pPr>
        <w:spacing w:line="480" w:lineRule="auto"/>
        <w:ind w:firstLine="720"/>
        <w:rPr>
          <w:rFonts w:ascii="Times New Roman" w:hAnsi="Times New Roman" w:cs="Times New Roman"/>
          <w:sz w:val="24"/>
          <w:szCs w:val="24"/>
        </w:rPr>
      </w:pPr>
      <w:r w:rsidRPr="00BD5310">
        <w:rPr>
          <w:rFonts w:ascii="Times New Roman" w:hAnsi="Times New Roman" w:cs="Times New Roman"/>
          <w:sz w:val="24"/>
          <w:szCs w:val="24"/>
        </w:rPr>
        <w:t>The involvement of the Institutional Review Board protect research participants by providing a regulatory and ethical oversight of research when research is being conducted (Stern et al., 2018). Through this, the rights, well-being and welfare of human subjects are protected hence motiv</w:t>
      </w:r>
      <w:r w:rsidR="00C934D7">
        <w:rPr>
          <w:rFonts w:ascii="Times New Roman" w:hAnsi="Times New Roman" w:cs="Times New Roman"/>
          <w:sz w:val="24"/>
          <w:szCs w:val="24"/>
        </w:rPr>
        <w:t>ating them to participate in</w:t>
      </w:r>
      <w:r w:rsidRPr="00BD5310">
        <w:rPr>
          <w:rFonts w:ascii="Times New Roman" w:hAnsi="Times New Roman" w:cs="Times New Roman"/>
          <w:sz w:val="24"/>
          <w:szCs w:val="24"/>
        </w:rPr>
        <w:t xml:space="preserve"> research</w:t>
      </w:r>
      <w:r w:rsidR="00C934D7">
        <w:rPr>
          <w:rFonts w:ascii="Times New Roman" w:hAnsi="Times New Roman" w:cs="Times New Roman"/>
          <w:sz w:val="24"/>
          <w:szCs w:val="24"/>
        </w:rPr>
        <w:t>. There is also the practice</w:t>
      </w:r>
      <w:r w:rsidRPr="00BD5310">
        <w:rPr>
          <w:rFonts w:ascii="Times New Roman" w:hAnsi="Times New Roman" w:cs="Times New Roman"/>
          <w:sz w:val="24"/>
          <w:szCs w:val="24"/>
        </w:rPr>
        <w:t xml:space="preserve"> of the employment of the highest levels of ethical standards which protect the human subjects as they engage in the research. Human beings </w:t>
      </w:r>
      <w:r w:rsidR="00C934D7">
        <w:rPr>
          <w:rFonts w:ascii="Times New Roman" w:hAnsi="Times New Roman" w:cs="Times New Roman"/>
          <w:sz w:val="24"/>
          <w:szCs w:val="24"/>
        </w:rPr>
        <w:t>are likely to participate in</w:t>
      </w:r>
      <w:r w:rsidRPr="00BD5310">
        <w:rPr>
          <w:rFonts w:ascii="Times New Roman" w:hAnsi="Times New Roman" w:cs="Times New Roman"/>
          <w:sz w:val="24"/>
          <w:szCs w:val="24"/>
        </w:rPr>
        <w:t xml:space="preserve"> research studies willingly after specific conditions have been outlined and applied. It is very vital </w:t>
      </w:r>
      <w:r w:rsidR="00C934D7">
        <w:rPr>
          <w:rFonts w:ascii="Times New Roman" w:hAnsi="Times New Roman" w:cs="Times New Roman"/>
          <w:sz w:val="24"/>
          <w:szCs w:val="24"/>
        </w:rPr>
        <w:t xml:space="preserve">and ethical </w:t>
      </w:r>
      <w:r w:rsidRPr="00BD5310">
        <w:rPr>
          <w:rFonts w:ascii="Times New Roman" w:hAnsi="Times New Roman" w:cs="Times New Roman"/>
          <w:sz w:val="24"/>
          <w:szCs w:val="24"/>
        </w:rPr>
        <w:t xml:space="preserve">for the Institutional Review Board to protect participants during research. </w:t>
      </w:r>
    </w:p>
    <w:p w:rsidR="00BD5310" w:rsidRPr="00BD5310" w:rsidRDefault="00BD5310" w:rsidP="00C934D7">
      <w:pPr>
        <w:spacing w:line="480" w:lineRule="auto"/>
        <w:ind w:firstLine="720"/>
        <w:rPr>
          <w:rFonts w:ascii="Times New Roman" w:hAnsi="Times New Roman" w:cs="Times New Roman"/>
          <w:sz w:val="24"/>
          <w:szCs w:val="24"/>
        </w:rPr>
      </w:pPr>
      <w:r w:rsidRPr="00BD5310">
        <w:rPr>
          <w:rFonts w:ascii="Times New Roman" w:hAnsi="Times New Roman" w:cs="Times New Roman"/>
          <w:sz w:val="24"/>
          <w:szCs w:val="24"/>
        </w:rPr>
        <w:t>One reason to justify the protection of participants is to trigger the principle of beneficence. It means that participants in a research study are all treated ethi</w:t>
      </w:r>
      <w:r w:rsidR="006A54F5">
        <w:rPr>
          <w:rFonts w:ascii="Times New Roman" w:hAnsi="Times New Roman" w:cs="Times New Roman"/>
          <w:sz w:val="24"/>
          <w:szCs w:val="24"/>
        </w:rPr>
        <w:t>cally by doing anything</w:t>
      </w:r>
      <w:r w:rsidRPr="00BD5310">
        <w:rPr>
          <w:rFonts w:ascii="Times New Roman" w:hAnsi="Times New Roman" w:cs="Times New Roman"/>
          <w:sz w:val="24"/>
          <w:szCs w:val="24"/>
        </w:rPr>
        <w:t xml:space="preserve"> to secure their safety and well-being as well as respecting their decisions. The</w:t>
      </w:r>
      <w:r w:rsidR="00D9754B">
        <w:rPr>
          <w:rFonts w:ascii="Times New Roman" w:hAnsi="Times New Roman" w:cs="Times New Roman"/>
          <w:sz w:val="24"/>
          <w:szCs w:val="24"/>
        </w:rPr>
        <w:t xml:space="preserve">refore, the research oversees </w:t>
      </w:r>
      <w:r w:rsidRPr="00BD5310">
        <w:rPr>
          <w:rFonts w:ascii="Times New Roman" w:hAnsi="Times New Roman" w:cs="Times New Roman"/>
          <w:sz w:val="24"/>
          <w:szCs w:val="24"/>
        </w:rPr>
        <w:t xml:space="preserve">actions to minimize potential harms and maximize possible benefits are complemented by the Institutional Review Board. Furthermore, it is crucial to protect the participants to ensure justice and to meet the expectations of the local, state and federal laws </w:t>
      </w:r>
      <w:r w:rsidRPr="00BD5310">
        <w:rPr>
          <w:rFonts w:ascii="Times New Roman" w:hAnsi="Times New Roman" w:cs="Times New Roman"/>
          <w:sz w:val="24"/>
          <w:szCs w:val="24"/>
        </w:rPr>
        <w:lastRenderedPageBreak/>
        <w:t xml:space="preserve">and regulations (Slutsman &amp; Nieman, 2018). Ensuring regulations and justice as required by the law </w:t>
      </w:r>
      <w:r w:rsidR="006A54F5">
        <w:rPr>
          <w:rFonts w:ascii="Times New Roman" w:hAnsi="Times New Roman" w:cs="Times New Roman"/>
          <w:sz w:val="24"/>
          <w:szCs w:val="24"/>
        </w:rPr>
        <w:t>to encourage</w:t>
      </w:r>
      <w:r w:rsidRPr="00BD5310">
        <w:rPr>
          <w:rFonts w:ascii="Times New Roman" w:hAnsi="Times New Roman" w:cs="Times New Roman"/>
          <w:sz w:val="24"/>
          <w:szCs w:val="24"/>
        </w:rPr>
        <w:t xml:space="preserve"> participants since they feel worth and respected as they participate in the research studies. </w:t>
      </w:r>
    </w:p>
    <w:p w:rsidR="00BD5310" w:rsidRPr="006A54F5" w:rsidRDefault="00BD5310" w:rsidP="006A54F5">
      <w:pPr>
        <w:spacing w:line="480" w:lineRule="auto"/>
        <w:jc w:val="center"/>
        <w:rPr>
          <w:rFonts w:ascii="Times New Roman" w:hAnsi="Times New Roman" w:cs="Times New Roman"/>
          <w:b/>
          <w:sz w:val="24"/>
          <w:szCs w:val="24"/>
        </w:rPr>
      </w:pPr>
      <w:r w:rsidRPr="006A54F5">
        <w:rPr>
          <w:rFonts w:ascii="Times New Roman" w:hAnsi="Times New Roman" w:cs="Times New Roman"/>
          <w:b/>
          <w:sz w:val="24"/>
          <w:szCs w:val="24"/>
        </w:rPr>
        <w:t>Question 2</w:t>
      </w:r>
    </w:p>
    <w:p w:rsidR="00BD5310" w:rsidRPr="00BD5310" w:rsidRDefault="00BD5310" w:rsidP="006A54F5">
      <w:pPr>
        <w:spacing w:line="480" w:lineRule="auto"/>
        <w:ind w:firstLine="720"/>
        <w:rPr>
          <w:rFonts w:ascii="Times New Roman" w:hAnsi="Times New Roman" w:cs="Times New Roman"/>
          <w:sz w:val="24"/>
          <w:szCs w:val="24"/>
        </w:rPr>
      </w:pPr>
      <w:r w:rsidRPr="00BD5310">
        <w:rPr>
          <w:rFonts w:ascii="Times New Roman" w:hAnsi="Times New Roman" w:cs="Times New Roman"/>
          <w:sz w:val="24"/>
          <w:szCs w:val="24"/>
        </w:rPr>
        <w:t>Societies are facing multiple challenges as a result of scarce body organs. According to Anicola et al. (2011), organs scarcity makes it very difficult to meet the designed medical needs necessary for the patient to recover. Although many ethical concerns are surrounding the way organs are supposed to be distributed, it is still not yet clear on the guidelines that are supposed to be accommodated in determining those who need them. One guideline that I would suggest is the consideration of factors such as</w:t>
      </w:r>
      <w:r w:rsidR="006A54F5">
        <w:rPr>
          <w:rFonts w:ascii="Times New Roman" w:hAnsi="Times New Roman" w:cs="Times New Roman"/>
          <w:sz w:val="24"/>
          <w:szCs w:val="24"/>
        </w:rPr>
        <w:t xml:space="preserve"> age and the length of waiting to get the organs</w:t>
      </w:r>
      <w:r w:rsidRPr="00BD5310">
        <w:rPr>
          <w:rFonts w:ascii="Times New Roman" w:hAnsi="Times New Roman" w:cs="Times New Roman"/>
          <w:sz w:val="24"/>
          <w:szCs w:val="24"/>
        </w:rPr>
        <w:t xml:space="preserve">. Individuals who have waited for a very long time without getting access to the organs they need should be considered and given the priority. This is because their conditions may get worse and more severe to the point of losing their lives.  </w:t>
      </w:r>
    </w:p>
    <w:p w:rsidR="00BD5310" w:rsidRPr="00BD5310" w:rsidRDefault="00BD5310" w:rsidP="006A54F5">
      <w:pPr>
        <w:spacing w:line="480" w:lineRule="auto"/>
        <w:ind w:firstLine="720"/>
        <w:rPr>
          <w:rFonts w:ascii="Times New Roman" w:hAnsi="Times New Roman" w:cs="Times New Roman"/>
          <w:sz w:val="24"/>
          <w:szCs w:val="24"/>
        </w:rPr>
      </w:pPr>
      <w:r w:rsidRPr="00BD5310">
        <w:rPr>
          <w:rFonts w:ascii="Times New Roman" w:hAnsi="Times New Roman" w:cs="Times New Roman"/>
          <w:sz w:val="24"/>
          <w:szCs w:val="24"/>
        </w:rPr>
        <w:t>Another suggestion regarding the organs criterion is considering the extent of the issue. Some health issues such as kidney transplants are very critical since lack of urgent medical attention can lead to death. On the other hand, other medical issues are not severe although they ought to be treated. Physicians should use the justification that patients with more severe problems are supposed to be considered first in the distribution of the available organs. The probability of the organ working in the body of the ailin</w:t>
      </w:r>
      <w:r w:rsidR="006A54F5">
        <w:rPr>
          <w:rFonts w:ascii="Times New Roman" w:hAnsi="Times New Roman" w:cs="Times New Roman"/>
          <w:sz w:val="24"/>
          <w:szCs w:val="24"/>
        </w:rPr>
        <w:t>g patient</w:t>
      </w:r>
      <w:r w:rsidRPr="00BD5310">
        <w:rPr>
          <w:rFonts w:ascii="Times New Roman" w:hAnsi="Times New Roman" w:cs="Times New Roman"/>
          <w:sz w:val="24"/>
          <w:szCs w:val="24"/>
        </w:rPr>
        <w:t xml:space="preserve"> should be used as a guideline (Anicola et al., 2011). Some organs may not be compatible with other people’s bodies since hormones and genes balances differ. On the same note, some health conditions are termed terminal meaning that the patient can never recover. In such cases, physicians should be in a position to examine and access the probability of organs being successful and </w:t>
      </w:r>
      <w:r w:rsidRPr="00BD5310">
        <w:rPr>
          <w:rFonts w:ascii="Times New Roman" w:hAnsi="Times New Roman" w:cs="Times New Roman"/>
          <w:sz w:val="24"/>
          <w:szCs w:val="24"/>
        </w:rPr>
        <w:lastRenderedPageBreak/>
        <w:t>failing before the surgical procedures are conducted. For that reason, the mentioned guidelines are likely to ensure equal distribution of the available organs.</w:t>
      </w: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6A54F5" w:rsidRDefault="006A54F5" w:rsidP="00BD5310">
      <w:pPr>
        <w:spacing w:line="480" w:lineRule="auto"/>
        <w:rPr>
          <w:rFonts w:ascii="Times New Roman" w:hAnsi="Times New Roman" w:cs="Times New Roman"/>
          <w:sz w:val="24"/>
          <w:szCs w:val="24"/>
        </w:rPr>
      </w:pPr>
    </w:p>
    <w:p w:rsidR="00E71FF6" w:rsidRPr="00BD5310" w:rsidRDefault="00E71FF6" w:rsidP="006A54F5">
      <w:pPr>
        <w:spacing w:line="480" w:lineRule="auto"/>
        <w:jc w:val="center"/>
        <w:rPr>
          <w:rFonts w:ascii="Times New Roman" w:hAnsi="Times New Roman" w:cs="Times New Roman"/>
          <w:sz w:val="24"/>
          <w:szCs w:val="24"/>
        </w:rPr>
      </w:pPr>
      <w:r w:rsidRPr="00BD5310">
        <w:rPr>
          <w:rFonts w:ascii="Times New Roman" w:hAnsi="Times New Roman" w:cs="Times New Roman"/>
          <w:sz w:val="24"/>
          <w:szCs w:val="24"/>
        </w:rPr>
        <w:lastRenderedPageBreak/>
        <w:t>References</w:t>
      </w:r>
    </w:p>
    <w:p w:rsidR="006A54F5" w:rsidRPr="00BD5310" w:rsidRDefault="006A54F5" w:rsidP="006A54F5">
      <w:pPr>
        <w:spacing w:line="480" w:lineRule="auto"/>
        <w:ind w:left="284" w:hanging="284"/>
        <w:rPr>
          <w:rFonts w:ascii="Times New Roman" w:hAnsi="Times New Roman" w:cs="Times New Roman"/>
          <w:sz w:val="24"/>
          <w:szCs w:val="24"/>
        </w:rPr>
      </w:pPr>
      <w:r w:rsidRPr="00BD5310">
        <w:rPr>
          <w:rFonts w:ascii="Times New Roman" w:hAnsi="Times New Roman" w:cs="Times New Roman"/>
          <w:sz w:val="24"/>
          <w:szCs w:val="24"/>
        </w:rPr>
        <w:t>Anicola, M. R., Belde, D., Slosar, J., &amp;Repenshek, M. (2011). Health care ethics: Theological foundations, contemporary issues and controversial cases.</w:t>
      </w:r>
    </w:p>
    <w:p w:rsidR="006A54F5" w:rsidRPr="00BD5310" w:rsidRDefault="006A54F5" w:rsidP="006A54F5">
      <w:pPr>
        <w:spacing w:line="480" w:lineRule="auto"/>
        <w:ind w:left="284" w:hanging="284"/>
        <w:rPr>
          <w:rFonts w:ascii="Times New Roman" w:hAnsi="Times New Roman" w:cs="Times New Roman"/>
          <w:color w:val="222222"/>
          <w:sz w:val="24"/>
          <w:szCs w:val="24"/>
          <w:shd w:val="clear" w:color="auto" w:fill="FFFFFF"/>
        </w:rPr>
      </w:pPr>
      <w:r w:rsidRPr="00BD5310">
        <w:rPr>
          <w:rFonts w:ascii="Times New Roman" w:hAnsi="Times New Roman" w:cs="Times New Roman"/>
          <w:color w:val="222222"/>
          <w:sz w:val="24"/>
          <w:szCs w:val="24"/>
          <w:shd w:val="clear" w:color="auto" w:fill="FFFFFF"/>
        </w:rPr>
        <w:t>Slutsman, J., &amp; Nieman, L. (2018). Institutional Review Boards. In </w:t>
      </w:r>
      <w:r w:rsidRPr="00BD5310">
        <w:rPr>
          <w:rFonts w:ascii="Times New Roman" w:hAnsi="Times New Roman" w:cs="Times New Roman"/>
          <w:i/>
          <w:iCs/>
          <w:color w:val="222222"/>
          <w:sz w:val="24"/>
          <w:szCs w:val="24"/>
          <w:shd w:val="clear" w:color="auto" w:fill="FFFFFF"/>
        </w:rPr>
        <w:t>Pri</w:t>
      </w:r>
      <w:bookmarkStart w:id="0" w:name="_GoBack"/>
      <w:bookmarkEnd w:id="0"/>
      <w:r w:rsidRPr="00BD5310">
        <w:rPr>
          <w:rFonts w:ascii="Times New Roman" w:hAnsi="Times New Roman" w:cs="Times New Roman"/>
          <w:i/>
          <w:iCs/>
          <w:color w:val="222222"/>
          <w:sz w:val="24"/>
          <w:szCs w:val="24"/>
          <w:shd w:val="clear" w:color="auto" w:fill="FFFFFF"/>
        </w:rPr>
        <w:t>nciples and Practice of Clinical Research</w:t>
      </w:r>
      <w:r w:rsidRPr="00BD5310">
        <w:rPr>
          <w:rFonts w:ascii="Times New Roman" w:hAnsi="Times New Roman" w:cs="Times New Roman"/>
          <w:color w:val="222222"/>
          <w:sz w:val="24"/>
          <w:szCs w:val="24"/>
          <w:shd w:val="clear" w:color="auto" w:fill="FFFFFF"/>
        </w:rPr>
        <w:t> (pp. 47-61). Academic Press.</w:t>
      </w:r>
    </w:p>
    <w:p w:rsidR="006A54F5" w:rsidRPr="00BD5310" w:rsidRDefault="006A54F5" w:rsidP="006A54F5">
      <w:pPr>
        <w:spacing w:line="480" w:lineRule="auto"/>
        <w:ind w:left="284" w:hanging="284"/>
        <w:rPr>
          <w:rFonts w:ascii="Times New Roman" w:hAnsi="Times New Roman" w:cs="Times New Roman"/>
          <w:sz w:val="24"/>
          <w:szCs w:val="24"/>
        </w:rPr>
      </w:pPr>
      <w:r w:rsidRPr="00BD5310">
        <w:rPr>
          <w:rFonts w:ascii="Times New Roman" w:hAnsi="Times New Roman" w:cs="Times New Roman"/>
          <w:color w:val="222222"/>
          <w:sz w:val="24"/>
          <w:szCs w:val="24"/>
          <w:shd w:val="clear" w:color="auto" w:fill="FFFFFF"/>
        </w:rPr>
        <w:t>Stern, S., Clapp, C., Pepper, J., &amp; Schmidt, R. (2018). Online Appendix B: Institutional Review Board Issues.</w:t>
      </w:r>
    </w:p>
    <w:sectPr w:rsidR="006A54F5" w:rsidRPr="00BD5310" w:rsidSect="00BD5310">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3F44" w:rsidRDefault="008A3F44" w:rsidP="00BD5310">
      <w:pPr>
        <w:spacing w:after="0" w:line="240" w:lineRule="auto"/>
      </w:pPr>
      <w:r>
        <w:separator/>
      </w:r>
    </w:p>
  </w:endnote>
  <w:endnote w:type="continuationSeparator" w:id="1">
    <w:p w:rsidR="008A3F44" w:rsidRDefault="008A3F44" w:rsidP="00BD53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3F44" w:rsidRDefault="008A3F44" w:rsidP="00BD5310">
      <w:pPr>
        <w:spacing w:after="0" w:line="240" w:lineRule="auto"/>
      </w:pPr>
      <w:r>
        <w:separator/>
      </w:r>
    </w:p>
  </w:footnote>
  <w:footnote w:type="continuationSeparator" w:id="1">
    <w:p w:rsidR="008A3F44" w:rsidRDefault="008A3F44" w:rsidP="00BD53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875020"/>
      <w:docPartObj>
        <w:docPartGallery w:val="Page Numbers (Top of Page)"/>
        <w:docPartUnique/>
      </w:docPartObj>
    </w:sdtPr>
    <w:sdtEndPr>
      <w:rPr>
        <w:noProof/>
      </w:rPr>
    </w:sdtEndPr>
    <w:sdtContent>
      <w:p w:rsidR="00BD5310" w:rsidRPr="00BD5310" w:rsidRDefault="00BD5310" w:rsidP="00C934D7">
        <w:pPr>
          <w:pStyle w:val="Header"/>
          <w:spacing w:line="480" w:lineRule="auto"/>
          <w:rPr>
            <w:rFonts w:ascii="Times New Roman" w:hAnsi="Times New Roman" w:cs="Times New Roman"/>
            <w:sz w:val="24"/>
            <w:szCs w:val="24"/>
          </w:rPr>
        </w:pPr>
        <w:r w:rsidRPr="00BD5310">
          <w:rPr>
            <w:rFonts w:ascii="Times New Roman" w:hAnsi="Times New Roman" w:cs="Times New Roman"/>
            <w:sz w:val="24"/>
            <w:szCs w:val="24"/>
          </w:rPr>
          <w:t>ORGAN TRANSPLANTATION</w:t>
        </w:r>
        <w:r w:rsidR="003C41FF">
          <w:rPr>
            <w:rFonts w:ascii="Times New Roman" w:hAnsi="Times New Roman" w:cs="Times New Roman"/>
            <w:sz w:val="24"/>
            <w:szCs w:val="24"/>
          </w:rPr>
          <w:t xml:space="preserve">                                                                                             </w:t>
        </w:r>
        <w:r w:rsidR="00344E4A" w:rsidRPr="00BD5310">
          <w:rPr>
            <w:rFonts w:ascii="Times New Roman" w:hAnsi="Times New Roman" w:cs="Times New Roman"/>
            <w:sz w:val="24"/>
            <w:szCs w:val="24"/>
          </w:rPr>
          <w:fldChar w:fldCharType="begin"/>
        </w:r>
        <w:r w:rsidRPr="00BD5310">
          <w:rPr>
            <w:rFonts w:ascii="Times New Roman" w:hAnsi="Times New Roman" w:cs="Times New Roman"/>
            <w:sz w:val="24"/>
            <w:szCs w:val="24"/>
          </w:rPr>
          <w:instrText xml:space="preserve"> PAGE   \* MERGEFORMAT </w:instrText>
        </w:r>
        <w:r w:rsidR="00344E4A" w:rsidRPr="00BD5310">
          <w:rPr>
            <w:rFonts w:ascii="Times New Roman" w:hAnsi="Times New Roman" w:cs="Times New Roman"/>
            <w:sz w:val="24"/>
            <w:szCs w:val="24"/>
          </w:rPr>
          <w:fldChar w:fldCharType="separate"/>
        </w:r>
        <w:r w:rsidR="00D9754B">
          <w:rPr>
            <w:rFonts w:ascii="Times New Roman" w:hAnsi="Times New Roman" w:cs="Times New Roman"/>
            <w:noProof/>
            <w:sz w:val="24"/>
            <w:szCs w:val="24"/>
          </w:rPr>
          <w:t>4</w:t>
        </w:r>
        <w:r w:rsidR="00344E4A" w:rsidRPr="00BD5310">
          <w:rPr>
            <w:rFonts w:ascii="Times New Roman" w:hAnsi="Times New Roman" w:cs="Times New Roman"/>
            <w:noProof/>
            <w:sz w:val="24"/>
            <w:szCs w:val="24"/>
          </w:rPr>
          <w:fldChar w:fldCharType="end"/>
        </w:r>
      </w:p>
    </w:sdtContent>
  </w:sdt>
  <w:p w:rsidR="00BD5310" w:rsidRPr="00BD5310" w:rsidRDefault="00BD5310" w:rsidP="00BD5310">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10" w:rsidRPr="00BD5310" w:rsidRDefault="00BD5310" w:rsidP="00BD5310">
    <w:pPr>
      <w:pStyle w:val="Header"/>
      <w:spacing w:line="480" w:lineRule="auto"/>
      <w:rPr>
        <w:rFonts w:ascii="Times New Roman" w:hAnsi="Times New Roman" w:cs="Times New Roman"/>
        <w:sz w:val="24"/>
        <w:szCs w:val="24"/>
      </w:rPr>
    </w:pPr>
    <w:r w:rsidRPr="00BD5310">
      <w:rPr>
        <w:rFonts w:ascii="Times New Roman" w:hAnsi="Times New Roman" w:cs="Times New Roman"/>
        <w:sz w:val="24"/>
        <w:szCs w:val="24"/>
      </w:rPr>
      <w:t xml:space="preserve">Running head: ORGAN TRANSPLANTATION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5648A"/>
    <w:rsid w:val="001D64AF"/>
    <w:rsid w:val="001F3982"/>
    <w:rsid w:val="00344E4A"/>
    <w:rsid w:val="00346F6F"/>
    <w:rsid w:val="003C41FF"/>
    <w:rsid w:val="00411B2B"/>
    <w:rsid w:val="00563BA3"/>
    <w:rsid w:val="006A54F5"/>
    <w:rsid w:val="008A3F44"/>
    <w:rsid w:val="008D569C"/>
    <w:rsid w:val="00A56BFC"/>
    <w:rsid w:val="00B54543"/>
    <w:rsid w:val="00BD5310"/>
    <w:rsid w:val="00C934D7"/>
    <w:rsid w:val="00D9754B"/>
    <w:rsid w:val="00E71FF6"/>
    <w:rsid w:val="00EC4C0A"/>
    <w:rsid w:val="00F37E97"/>
    <w:rsid w:val="00F5648A"/>
    <w:rsid w:val="00F573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E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3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310"/>
  </w:style>
  <w:style w:type="paragraph" w:styleId="Footer">
    <w:name w:val="footer"/>
    <w:basedOn w:val="Normal"/>
    <w:link w:val="FooterChar"/>
    <w:uiPriority w:val="99"/>
    <w:unhideWhenUsed/>
    <w:rsid w:val="00BD53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31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2019-02-28T03:44:00Z</dcterms:created>
  <dcterms:modified xsi:type="dcterms:W3CDTF">2019-02-28T03:47:00Z</dcterms:modified>
</cp:coreProperties>
</file>